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34" w:rsidRPr="00936534" w:rsidRDefault="00936534" w:rsidP="0093653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bookmarkStart w:id="0" w:name="_GoBack"/>
      <w:proofErr w:type="spellStart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Carnot</w:t>
      </w:r>
      <w:proofErr w:type="spellEnd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 xml:space="preserve"> çevrimi</w:t>
      </w:r>
      <w:bookmarkEnd w:id="0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6" w:tooltip="Sadi Carnot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 xml:space="preserve">Sadi </w:t>
        </w:r>
        <w:proofErr w:type="spellStart"/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Carnot</w:t>
        </w:r>
        <w:proofErr w:type="spellEnd"/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tarafından </w:t>
      </w:r>
      <w:hyperlink r:id="rId7" w:tooltip="1820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1820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’lerde ortaya konmuş özel bir termodinamik çevrimdir ve </w:t>
      </w:r>
      <w:hyperlink r:id="rId8" w:tooltip="Emile Clapeyron (sayfa mevcut değil)" w:history="1">
        <w:r w:rsidRPr="00936534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 xml:space="preserve">Emile </w:t>
        </w:r>
        <w:proofErr w:type="spellStart"/>
        <w:r w:rsidRPr="00936534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Clapeyron</w:t>
        </w:r>
        <w:proofErr w:type="spellEnd"/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tarafından </w:t>
      </w:r>
      <w:hyperlink r:id="rId9" w:tooltip="1830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1830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hyperlink r:id="rId10" w:tooltip="1840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1840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’lı yıllarda geliştirilmiştir.</w:t>
      </w:r>
    </w:p>
    <w:p w:rsidR="00936534" w:rsidRPr="00936534" w:rsidRDefault="00936534" w:rsidP="0093653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Her </w:t>
      </w:r>
      <w:hyperlink r:id="rId11" w:tooltip="Termodinamik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termodinamik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sistem özel bir durum içinde </w:t>
      </w:r>
      <w:proofErr w:type="spell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varolmuştur</w:t>
      </w:r>
      <w:proofErr w:type="spell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 Sistem, farklı durumları sırası ile takip ediyor ve en sonunda önceki haline geri dönüyorsa termodinamik bir çevrim oluşur. Bu çevrim boyunca işlem içinde, sistem çevresine iş yapabilir, bu yolla bir </w:t>
      </w:r>
      <w:hyperlink r:id="rId12" w:tooltip="Isı makinesi (sayfa mevcut değil)" w:history="1">
        <w:r w:rsidRPr="00936534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ısı makinesi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rol oynayabilir.</w:t>
      </w:r>
    </w:p>
    <w:p w:rsidR="00936534" w:rsidRPr="00936534" w:rsidRDefault="00936534" w:rsidP="0093653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Bir ısı makinesi </w:t>
      </w:r>
      <w:hyperlink r:id="rId13" w:tooltip="Enerji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enerjinin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sıcak bölgeden, soğuk bölgeye aktarılmasını sağlar, bu işlem içinde enerjinin bir kısmı mekanik işe dönüşür. Çevrim </w:t>
      </w:r>
      <w:hyperlink r:id="rId14" w:tooltip="Tersinir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tersinirdir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(yani tersine de gerçekleşebilir). Sistem bir dış kuvvet ile çalışabilir ve işlem içinde soğuk sistemden, sıcak sisteme </w:t>
      </w:r>
      <w:hyperlink r:id="rId15" w:tooltip="Isı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ısı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aktarılabilir, bu şekilde bir ısı makinesinden çok bir </w:t>
      </w:r>
      <w:hyperlink r:id="rId16" w:tooltip="Soğutma çevrimi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soğutucu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çalışır.</w:t>
      </w:r>
    </w:p>
    <w:p w:rsidR="00936534" w:rsidRPr="00936534" w:rsidRDefault="00936534" w:rsidP="0093653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Carnot</w:t>
      </w:r>
      <w:proofErr w:type="spell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çevrimi, termodinamik çevrimin özel bir tipidir. Özeldir </w:t>
      </w:r>
      <w:proofErr w:type="gram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çünkü,</w:t>
      </w:r>
      <w:proofErr w:type="gram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verilen ısı enerjisinin işe çevrilme miktarı ya da tersi için (verilen işin soğutma amaçları için kullanımı) mümkün olan en verimli çevrimdir.</w:t>
      </w:r>
    </w:p>
    <w:p w:rsidR="00936534" w:rsidRPr="00936534" w:rsidRDefault="00936534" w:rsidP="0093653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Carnot</w:t>
      </w:r>
      <w:proofErr w:type="spell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çevrimi ısı makinesi olarak şu adımları takip </w:t>
      </w:r>
      <w:proofErr w:type="gram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eder :</w:t>
      </w:r>
      <w:proofErr w:type="gramEnd"/>
    </w:p>
    <w:p w:rsidR="00936534" w:rsidRPr="00936534" w:rsidRDefault="00936534" w:rsidP="00936534">
      <w:pPr>
        <w:shd w:val="clear" w:color="auto" w:fill="F9F9F9"/>
        <w:spacing w:after="0" w:line="336" w:lineRule="atLeast"/>
        <w:ind w:left="336"/>
        <w:jc w:val="center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tr-TR"/>
        </w:rPr>
        <w:drawing>
          <wp:inline distT="0" distB="0" distL="0" distR="0">
            <wp:extent cx="2855595" cy="2139315"/>
            <wp:effectExtent l="0" t="0" r="1905" b="0"/>
            <wp:docPr id="1" name="Resim 1" descr="http://upload.wikimedia.org/wikipedia/commons/thumb/b/b6/CarnotCycle1.png/300px-CarnotCycle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6/CarnotCycle1.png/300px-CarnotCycle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34" w:rsidRPr="00936534" w:rsidRDefault="00936534" w:rsidP="00936534">
      <w:pPr>
        <w:shd w:val="clear" w:color="auto" w:fill="F9F9F9"/>
        <w:spacing w:after="192" w:line="336" w:lineRule="atLeast"/>
        <w:ind w:left="336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Bir ısı makinesi olarak çalışan bir </w:t>
      </w:r>
      <w:proofErr w:type="spellStart"/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Carnot</w:t>
      </w:r>
      <w:proofErr w:type="spellEnd"/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çevrimi, sıcaklık – </w:t>
      </w:r>
      <w:proofErr w:type="spellStart"/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entropi</w:t>
      </w:r>
      <w:proofErr w:type="spellEnd"/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diyagramı üzerinde gösterilmiştir. Çevrim T</w:t>
      </w:r>
      <w:r w:rsidRPr="00936534">
        <w:rPr>
          <w:rFonts w:ascii="Arial" w:eastAsia="Times New Roman" w:hAnsi="Arial" w:cs="Arial"/>
          <w:color w:val="252525"/>
          <w:sz w:val="19"/>
          <w:szCs w:val="19"/>
          <w:vertAlign w:val="subscript"/>
          <w:lang w:eastAsia="tr-TR"/>
        </w:rPr>
        <w:t>H</w:t>
      </w:r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ve T</w:t>
      </w:r>
      <w:r w:rsidRPr="00936534">
        <w:rPr>
          <w:rFonts w:ascii="Arial" w:eastAsia="Times New Roman" w:hAnsi="Arial" w:cs="Arial"/>
          <w:color w:val="252525"/>
          <w:sz w:val="19"/>
          <w:szCs w:val="19"/>
          <w:vertAlign w:val="subscript"/>
          <w:lang w:eastAsia="tr-TR"/>
        </w:rPr>
        <w:t>C</w:t>
      </w:r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 sıcaklıkları arasında yer alır. Dikey eksen sıcaklık, yatay eksen </w:t>
      </w:r>
      <w:proofErr w:type="spellStart"/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entropidir</w:t>
      </w:r>
      <w:proofErr w:type="spellEnd"/>
      <w:r w:rsidRPr="00936534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.</w:t>
      </w:r>
    </w:p>
    <w:p w:rsidR="00936534" w:rsidRPr="00936534" w:rsidRDefault="00936534" w:rsidP="0093653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93653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tr-TR"/>
        </w:rPr>
        <w:t>T</w:t>
      </w:r>
      <w:r w:rsidRPr="0093653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vertAlign w:val="subscript"/>
          <w:lang w:eastAsia="tr-TR"/>
        </w:rPr>
        <w:t>H</w:t>
      </w: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 sıcaklığındaki ’’sıcak’’ gazın tersinir </w:t>
      </w:r>
      <w:hyperlink r:id="rId19" w:tooltip="İzotermal" w:history="1">
        <w:r w:rsidRPr="00936534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tr-TR"/>
          </w:rPr>
          <w:t>izotermal</w:t>
        </w:r>
      </w:hyperlink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 genişlemesi (İzotermal ısı ilavesi):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Bu adım esnasında, genişleyen (hacmi artan) gaz pistonun iş yapmasına neden olur. Gaz genişlemesi, yüksek sıcaklıktan ısının emilmesi ile ilerler. (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A-B arası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</w:t>
      </w:r>
    </w:p>
    <w:p w:rsidR="00936534" w:rsidRPr="00936534" w:rsidRDefault="00936534" w:rsidP="0093653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Gazın tersinir </w:t>
      </w:r>
      <w:proofErr w:type="spellStart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fldChar w:fldCharType="begin"/>
      </w: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instrText xml:space="preserve"> HYPERLINK "http://tr.wikipedia.org/wiki/Adyabatik" \o "Adyabatik" </w:instrText>
      </w: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fldChar w:fldCharType="separate"/>
      </w:r>
      <w:r w:rsidRPr="00936534">
        <w:rPr>
          <w:rFonts w:ascii="Arial" w:eastAsia="Times New Roman" w:hAnsi="Arial" w:cs="Arial"/>
          <w:b/>
          <w:bCs/>
          <w:color w:val="0B0080"/>
          <w:sz w:val="21"/>
          <w:szCs w:val="21"/>
          <w:lang w:eastAsia="tr-TR"/>
        </w:rPr>
        <w:t>adyabatik</w:t>
      </w:r>
      <w:proofErr w:type="spellEnd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fldChar w:fldCharType="end"/>
      </w: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 genişlemesi: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Bu adımda piston ve silindirin ısıl olarak yalıtılmış olduğu kabul edilir, bu nedenle ısı kaybı yoktur. Gaz genişlemeye ve iş yapmaya devam eder. Gaz genişleme nedeni ile 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T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vertAlign w:val="subscript"/>
          <w:lang w:eastAsia="tr-TR"/>
        </w:rPr>
        <w:t>C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sıcaklığına soğur. (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B-C arası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</w:t>
      </w:r>
    </w:p>
    <w:p w:rsidR="00936534" w:rsidRPr="00936534" w:rsidRDefault="00936534" w:rsidP="0093653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93653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tr-TR"/>
        </w:rPr>
        <w:t>T</w:t>
      </w:r>
      <w:r w:rsidRPr="0093653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vertAlign w:val="subscript"/>
          <w:lang w:eastAsia="tr-TR"/>
        </w:rPr>
        <w:t>C</w:t>
      </w: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 sıcaklığındaki ’’soğuk’’ gazın tersinir izotermal sıkıştırılması (İzotermal ısı atılması):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Bu anda çevresine iş vermiş durumdaki gaz, düşük sıcaklığa doğru ısı çıkışına neden olur. (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C-D arası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</w:t>
      </w:r>
    </w:p>
    <w:p w:rsidR="00936534" w:rsidRPr="00936534" w:rsidRDefault="00936534" w:rsidP="0093653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 xml:space="preserve">Gazın tersinir </w:t>
      </w:r>
      <w:proofErr w:type="spellStart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adyabatik</w:t>
      </w:r>
      <w:proofErr w:type="spellEnd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 xml:space="preserve"> olarak </w:t>
      </w:r>
      <w:proofErr w:type="spellStart"/>
      <w:proofErr w:type="gramStart"/>
      <w:r w:rsidRPr="00936534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sıkıştırılması: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Yine</w:t>
      </w:r>
      <w:proofErr w:type="spellEnd"/>
      <w:proofErr w:type="gram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piston ve silindir ısıl olarak yalıtılmış kabul edilir. Bu adımda yapılan iş gaz üzerinde sıkıştırılmaya ve sıcaklığının 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T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vertAlign w:val="subscript"/>
          <w:lang w:eastAsia="tr-TR"/>
        </w:rPr>
        <w:t>H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sıcaklığına yükselmesine sebep olur. Bu noktada gaz ilk basamaktaki başlangıç haline dönmüştür. (</w:t>
      </w:r>
      <w:r w:rsidRPr="00936534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D-A arası</w: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</w:t>
      </w:r>
    </w:p>
    <w:p w:rsidR="00936534" w:rsidRPr="00936534" w:rsidRDefault="00936534" w:rsidP="0093653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Carnot</w:t>
      </w:r>
      <w:proofErr w:type="spell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çevriminin mümkün olan en verimli çevrim olmasının sebebi, tamamen tersinir adımlardan oluşmasıdır. Adımların hiçbirinde, aralarında </w:t>
      </w:r>
      <w:hyperlink r:id="rId20" w:tooltip="Sıcaklık" w:history="1">
        <w:r w:rsidRPr="00936534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sıcaklık</w:t>
        </w:r>
      </w:hyperlink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farkı bulunan iki sistem arasında ısı alış-verişi gerçekleşmez. Dolayısıyla, her adımdaki ve toplamdaki </w:t>
      </w:r>
      <w:proofErr w:type="spellStart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"http://tr.wikipedia.org/wiki/Entropi" \o "Entropi" </w:instrText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936534">
        <w:rPr>
          <w:rFonts w:ascii="Arial" w:eastAsia="Times New Roman" w:hAnsi="Arial" w:cs="Arial"/>
          <w:color w:val="0B0080"/>
          <w:sz w:val="21"/>
          <w:szCs w:val="21"/>
          <w:lang w:eastAsia="tr-TR"/>
        </w:rPr>
        <w:t>entropi</w:t>
      </w:r>
      <w:proofErr w:type="spellEnd"/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936534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değişimi sıfırdır.</w:t>
      </w:r>
    </w:p>
    <w:p w:rsidR="007001FF" w:rsidRDefault="007001FF"/>
    <w:sectPr w:rsidR="0070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1F8B"/>
    <w:multiLevelType w:val="multilevel"/>
    <w:tmpl w:val="A52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2"/>
    <w:rsid w:val="00537F72"/>
    <w:rsid w:val="007001FF"/>
    <w:rsid w:val="009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36534"/>
  </w:style>
  <w:style w:type="character" w:styleId="Kpr">
    <w:name w:val="Hyperlink"/>
    <w:basedOn w:val="VarsaylanParagrafYazTipi"/>
    <w:uiPriority w:val="99"/>
    <w:semiHidden/>
    <w:unhideWhenUsed/>
    <w:rsid w:val="0093653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36534"/>
  </w:style>
  <w:style w:type="character" w:styleId="Kpr">
    <w:name w:val="Hyperlink"/>
    <w:basedOn w:val="VarsaylanParagrafYazTipi"/>
    <w:uiPriority w:val="99"/>
    <w:semiHidden/>
    <w:unhideWhenUsed/>
    <w:rsid w:val="0093653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3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38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Emile_Clapeyron&amp;action=edit&amp;redlink=1" TargetMode="External"/><Relationship Id="rId13" Type="http://schemas.openxmlformats.org/officeDocument/2006/relationships/hyperlink" Target="http://tr.wikipedia.org/wiki/Enerji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tr.wikipedia.org/wiki/1820" TargetMode="External"/><Relationship Id="rId12" Type="http://schemas.openxmlformats.org/officeDocument/2006/relationships/hyperlink" Target="http://tr.wikipedia.org/w/index.php?title=Is%C4%B1_makinesi&amp;action=edit&amp;redlink=1" TargetMode="External"/><Relationship Id="rId17" Type="http://schemas.openxmlformats.org/officeDocument/2006/relationships/hyperlink" Target="http://tr.wikipedia.org/wiki/Dosya:CarnotCycle1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tr.wikipedia.org/wiki/So%C4%9Futma_%C3%A7evrimi" TargetMode="External"/><Relationship Id="rId20" Type="http://schemas.openxmlformats.org/officeDocument/2006/relationships/hyperlink" Target="http://tr.wikipedia.org/wiki/S%C4%B1cakl%C4%B1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Sadi_Carnot" TargetMode="External"/><Relationship Id="rId11" Type="http://schemas.openxmlformats.org/officeDocument/2006/relationships/hyperlink" Target="http://tr.wikipedia.org/wiki/Termodinam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.wikipedia.org/wiki/Is%C4%B1" TargetMode="External"/><Relationship Id="rId10" Type="http://schemas.openxmlformats.org/officeDocument/2006/relationships/hyperlink" Target="http://tr.wikipedia.org/wiki/1840" TargetMode="External"/><Relationship Id="rId19" Type="http://schemas.openxmlformats.org/officeDocument/2006/relationships/hyperlink" Target="http://tr.wikipedia.org/wiki/%C4%B0zoter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1830" TargetMode="External"/><Relationship Id="rId14" Type="http://schemas.openxmlformats.org/officeDocument/2006/relationships/hyperlink" Target="http://tr.wikipedia.org/wiki/Tersin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Company>By NeC ® 2010 | Katilimsiz.Com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3</cp:revision>
  <dcterms:created xsi:type="dcterms:W3CDTF">2015-02-11T22:31:00Z</dcterms:created>
  <dcterms:modified xsi:type="dcterms:W3CDTF">2015-02-11T22:31:00Z</dcterms:modified>
</cp:coreProperties>
</file>